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16635" w14:textId="0335A56C" w:rsidR="00EA3BC3" w:rsidRPr="00EA3BC3" w:rsidRDefault="00323E0E" w:rsidP="00ED21EA">
      <w:pPr>
        <w:jc w:val="center"/>
        <w:rPr>
          <w:b/>
          <w:bCs/>
        </w:rPr>
      </w:pPr>
      <w:r>
        <w:rPr>
          <w:b/>
          <w:bCs/>
        </w:rPr>
        <w:t xml:space="preserve">SAMPLE </w:t>
      </w:r>
      <w:r w:rsidRPr="00EA3BC3">
        <w:rPr>
          <w:b/>
          <w:bCs/>
        </w:rPr>
        <w:t>SUMMARY OF DISPOSITION AND DEVELOPMENT AGREEMENT</w:t>
      </w:r>
    </w:p>
    <w:p w14:paraId="5DA12C8C" w14:textId="71898C54" w:rsidR="00EA3BC3" w:rsidRPr="00EA3BC3" w:rsidRDefault="00EA3BC3" w:rsidP="00EA3BC3">
      <w:r w:rsidRPr="00EA3BC3">
        <w:t>The following summary has been prepared to provide an overview of the contents of the</w:t>
      </w:r>
      <w:r w:rsidR="00BC7E85">
        <w:t xml:space="preserve"> </w:t>
      </w:r>
      <w:r w:rsidRPr="00EA3BC3">
        <w:t xml:space="preserve">Disposition and Development </w:t>
      </w:r>
      <w:r w:rsidR="00ED21EA" w:rsidRPr="00EA3BC3">
        <w:t>Agreement (</w:t>
      </w:r>
      <w:r w:rsidR="00BC7E85">
        <w:t>“</w:t>
      </w:r>
      <w:r w:rsidRPr="00D45325">
        <w:rPr>
          <w:u w:val="single"/>
        </w:rPr>
        <w:t>DDA</w:t>
      </w:r>
      <w:r w:rsidRPr="00EA3BC3">
        <w:t xml:space="preserve">") </w:t>
      </w:r>
      <w:r w:rsidR="00ED21EA">
        <w:t xml:space="preserve">Summit County </w:t>
      </w:r>
      <w:r w:rsidRPr="00EA3BC3">
        <w:t>will prepare for execution</w:t>
      </w:r>
      <w:r>
        <w:t xml:space="preserve"> </w:t>
      </w:r>
      <w:r w:rsidRPr="00EA3BC3">
        <w:t xml:space="preserve">with the selected developer for the property </w:t>
      </w:r>
      <w:r w:rsidR="00ED21EA">
        <w:t xml:space="preserve">identified in the RFQ/P as the </w:t>
      </w:r>
      <w:r w:rsidR="00BC7E85">
        <w:t>“</w:t>
      </w:r>
      <w:r w:rsidR="00ED21EA" w:rsidRPr="00D45325">
        <w:rPr>
          <w:u w:val="single"/>
        </w:rPr>
        <w:t>Cline Dahle Property</w:t>
      </w:r>
      <w:r w:rsidR="00ED21EA">
        <w:t>.</w:t>
      </w:r>
      <w:r w:rsidR="00BC7E85">
        <w:t>”</w:t>
      </w:r>
    </w:p>
    <w:p w14:paraId="0B36D233" w14:textId="54825DEB" w:rsidR="00EA3BC3" w:rsidRPr="00EA3BC3" w:rsidRDefault="00EA3BC3" w:rsidP="00EA3BC3">
      <w:r w:rsidRPr="00EA3BC3">
        <w:rPr>
          <w:b/>
          <w:bCs/>
        </w:rPr>
        <w:t xml:space="preserve">The DDA will contain </w:t>
      </w:r>
      <w:r w:rsidR="00DC6F3E">
        <w:rPr>
          <w:b/>
          <w:bCs/>
        </w:rPr>
        <w:t xml:space="preserve">recitals </w:t>
      </w:r>
      <w:r w:rsidR="00F52FFC">
        <w:rPr>
          <w:b/>
          <w:bCs/>
        </w:rPr>
        <w:t>(“</w:t>
      </w:r>
      <w:r w:rsidR="00F52FFC" w:rsidRPr="00D45325">
        <w:rPr>
          <w:b/>
          <w:bCs/>
          <w:u w:val="single"/>
        </w:rPr>
        <w:t>Recitals</w:t>
      </w:r>
      <w:r w:rsidR="00F52FFC">
        <w:rPr>
          <w:b/>
          <w:bCs/>
        </w:rPr>
        <w:t xml:space="preserve">”) </w:t>
      </w:r>
      <w:r w:rsidR="00DC6F3E">
        <w:rPr>
          <w:b/>
          <w:bCs/>
        </w:rPr>
        <w:t xml:space="preserve">and </w:t>
      </w:r>
      <w:r w:rsidRPr="00EA3BC3">
        <w:rPr>
          <w:b/>
          <w:bCs/>
        </w:rPr>
        <w:t>13 sections</w:t>
      </w:r>
      <w:r w:rsidRPr="00EA3BC3">
        <w:t xml:space="preserve">. The </w:t>
      </w:r>
      <w:r w:rsidR="00F52FFC">
        <w:t>R</w:t>
      </w:r>
      <w:r w:rsidR="00DC6F3E">
        <w:t xml:space="preserve">ecitals and </w:t>
      </w:r>
      <w:r w:rsidRPr="00EA3BC3">
        <w:t>sections will cover the following:</w:t>
      </w:r>
    </w:p>
    <w:p w14:paraId="5D921193" w14:textId="531CDF10" w:rsidR="00DC6F3E" w:rsidRDefault="00DC6F3E" w:rsidP="00EA3BC3">
      <w:pPr>
        <w:pStyle w:val="ListParagraph"/>
        <w:numPr>
          <w:ilvl w:val="0"/>
          <w:numId w:val="1"/>
        </w:numPr>
      </w:pPr>
      <w:r>
        <w:t xml:space="preserve">The Recitals will identify the parties to the agreement and reference the history of the </w:t>
      </w:r>
      <w:r w:rsidR="00F52FFC">
        <w:t xml:space="preserve">proposed development </w:t>
      </w:r>
      <w:r>
        <w:t>project</w:t>
      </w:r>
      <w:r w:rsidR="00F52FFC">
        <w:t xml:space="preserve"> (the “</w:t>
      </w:r>
      <w:r w:rsidR="00F52FFC" w:rsidRPr="00D45325">
        <w:rPr>
          <w:u w:val="single"/>
        </w:rPr>
        <w:t>Project</w:t>
      </w:r>
      <w:r w:rsidR="00F52FFC">
        <w:t>”)</w:t>
      </w:r>
      <w:r>
        <w:t>.</w:t>
      </w:r>
    </w:p>
    <w:p w14:paraId="0A47AA11" w14:textId="762B01B7" w:rsidR="00DC6F3E" w:rsidRDefault="00EA3BC3" w:rsidP="00EA3BC3">
      <w:pPr>
        <w:pStyle w:val="ListParagraph"/>
        <w:numPr>
          <w:ilvl w:val="0"/>
          <w:numId w:val="1"/>
        </w:numPr>
      </w:pPr>
      <w:r w:rsidRPr="00EA3BC3">
        <w:t xml:space="preserve">Section 1 will contain </w:t>
      </w:r>
      <w:r w:rsidR="00BC7E85">
        <w:t>the findings of fact and conclusions of law as are necessary to make each determination required by the Snyderville Basin General Plan and Development Code</w:t>
      </w:r>
      <w:r w:rsidR="00F52FFC">
        <w:t xml:space="preserve"> to approved the Project</w:t>
      </w:r>
      <w:r w:rsidR="00BC7E85">
        <w:t>.</w:t>
      </w:r>
      <w:r w:rsidR="00DC6F3E">
        <w:t xml:space="preserve">  This section will also cover the powers and limitations of Summit County when disposing of real property, which are contained in Summit County Code, Title 1, Chapter 11.</w:t>
      </w:r>
    </w:p>
    <w:p w14:paraId="01BBF14C" w14:textId="10B9964E" w:rsidR="00EA3BC3" w:rsidRDefault="00DC6F3E" w:rsidP="00EA3BC3">
      <w:pPr>
        <w:pStyle w:val="ListParagraph"/>
        <w:numPr>
          <w:ilvl w:val="0"/>
          <w:numId w:val="1"/>
        </w:numPr>
      </w:pPr>
      <w:r>
        <w:t xml:space="preserve">Section 2 will contain </w:t>
      </w:r>
      <w:r w:rsidR="00EA3BC3" w:rsidRPr="00EA3BC3">
        <w:t>definitions of relevant terms contained in the DDA</w:t>
      </w:r>
      <w:r w:rsidR="00BC7E85">
        <w:t>.</w:t>
      </w:r>
    </w:p>
    <w:p w14:paraId="0ED9DFBC" w14:textId="77777777" w:rsidR="00EA3BC3" w:rsidRDefault="00EA3BC3" w:rsidP="00EA3BC3">
      <w:pPr>
        <w:pStyle w:val="ListParagraph"/>
        <w:numPr>
          <w:ilvl w:val="0"/>
          <w:numId w:val="1"/>
        </w:numPr>
      </w:pPr>
      <w:r w:rsidRPr="00EA3BC3">
        <w:t>Section 3 will cover the pre-closing due diligence period, property investigation, and title</w:t>
      </w:r>
      <w:r>
        <w:t xml:space="preserve"> </w:t>
      </w:r>
      <w:r w:rsidRPr="00EA3BC3">
        <w:t>issues that may arise.</w:t>
      </w:r>
    </w:p>
    <w:p w14:paraId="3FF641B2" w14:textId="105DFA89" w:rsidR="00EA3BC3" w:rsidRDefault="00EA3BC3" w:rsidP="00EA3BC3">
      <w:pPr>
        <w:pStyle w:val="ListParagraph"/>
        <w:numPr>
          <w:ilvl w:val="0"/>
          <w:numId w:val="1"/>
        </w:numPr>
      </w:pPr>
      <w:r w:rsidRPr="00EA3BC3">
        <w:t xml:space="preserve">Section 4 will deal with the selected developer's proposed financing for the </w:t>
      </w:r>
      <w:r w:rsidR="00F52FFC">
        <w:t>P</w:t>
      </w:r>
      <w:r w:rsidRPr="00EA3BC3">
        <w:t>roject and</w:t>
      </w:r>
      <w:r>
        <w:t xml:space="preserve"> </w:t>
      </w:r>
      <w:r w:rsidR="00ED21EA">
        <w:t>Summit County</w:t>
      </w:r>
      <w:r w:rsidRPr="00EA3BC3">
        <w:t xml:space="preserve">'s assessment of the financial viability of the </w:t>
      </w:r>
      <w:r w:rsidR="00F52FFC">
        <w:t>P</w:t>
      </w:r>
      <w:r w:rsidRPr="00EA3BC3">
        <w:t>roject, based on firm</w:t>
      </w:r>
      <w:r>
        <w:t xml:space="preserve"> </w:t>
      </w:r>
      <w:r w:rsidRPr="00EA3BC3">
        <w:t xml:space="preserve">commitments from lenders and financers and when such commitments </w:t>
      </w:r>
      <w:r w:rsidR="00F52FFC">
        <w:t>will be</w:t>
      </w:r>
      <w:r w:rsidRPr="00EA3BC3">
        <w:t xml:space="preserve"> required.</w:t>
      </w:r>
    </w:p>
    <w:p w14:paraId="45D64431" w14:textId="3D5256E4" w:rsidR="00EA3BC3" w:rsidRDefault="00EA3BC3" w:rsidP="00EA3BC3">
      <w:pPr>
        <w:pStyle w:val="ListParagraph"/>
        <w:numPr>
          <w:ilvl w:val="0"/>
          <w:numId w:val="1"/>
        </w:numPr>
      </w:pPr>
      <w:r w:rsidRPr="00EA3BC3">
        <w:t xml:space="preserve">Section 5 covers the </w:t>
      </w:r>
      <w:r w:rsidR="007A3555">
        <w:t>disposition (and/or lease terms)</w:t>
      </w:r>
      <w:r w:rsidRPr="00EA3BC3">
        <w:t xml:space="preserve"> and conveyance of the </w:t>
      </w:r>
      <w:r w:rsidR="00F52FFC">
        <w:t>Cline Dahle P</w:t>
      </w:r>
      <w:r w:rsidRPr="00EA3BC3">
        <w:t>roperty to the developer</w:t>
      </w:r>
      <w:r w:rsidR="00F52FFC">
        <w:t>, as well as</w:t>
      </w:r>
      <w:r w:rsidRPr="00EA3BC3">
        <w:t xml:space="preserve"> property closing details.</w:t>
      </w:r>
    </w:p>
    <w:p w14:paraId="596F923E" w14:textId="2796BD46" w:rsidR="00EA3BC3" w:rsidRDefault="00EA3BC3" w:rsidP="00EA3BC3">
      <w:pPr>
        <w:pStyle w:val="ListParagraph"/>
        <w:numPr>
          <w:ilvl w:val="0"/>
          <w:numId w:val="1"/>
        </w:numPr>
      </w:pPr>
      <w:r w:rsidRPr="00EA3BC3">
        <w:t xml:space="preserve">Section 6 will detail the condition of the </w:t>
      </w:r>
      <w:r w:rsidR="00F52FFC">
        <w:t>Cline Dahle P</w:t>
      </w:r>
      <w:r w:rsidRPr="00EA3BC3">
        <w:t xml:space="preserve">roperty and any representations made by </w:t>
      </w:r>
      <w:r w:rsidR="00ED21EA">
        <w:t>Summit County</w:t>
      </w:r>
      <w:r w:rsidRPr="00EA3BC3">
        <w:t xml:space="preserve"> concerning the same. </w:t>
      </w:r>
      <w:r w:rsidR="00ED21EA">
        <w:t>Summit County</w:t>
      </w:r>
      <w:r w:rsidRPr="00EA3BC3">
        <w:t xml:space="preserve"> anticipates disposing of the </w:t>
      </w:r>
      <w:r w:rsidR="00F52FFC">
        <w:t>Cline Dahle P</w:t>
      </w:r>
      <w:r w:rsidRPr="00EA3BC3">
        <w:t>roperty</w:t>
      </w:r>
      <w:r>
        <w:t xml:space="preserve"> or leasing the </w:t>
      </w:r>
      <w:r w:rsidR="00F52FFC">
        <w:t>same</w:t>
      </w:r>
      <w:r w:rsidRPr="00EA3BC3">
        <w:t xml:space="preserve"> in "as is"</w:t>
      </w:r>
      <w:r>
        <w:t xml:space="preserve"> </w:t>
      </w:r>
      <w:r w:rsidRPr="00EA3BC3">
        <w:t>condition.</w:t>
      </w:r>
    </w:p>
    <w:p w14:paraId="67A48B18" w14:textId="6C563A60" w:rsidR="00DC6F3E" w:rsidRDefault="00EA3BC3" w:rsidP="00EA3BC3">
      <w:pPr>
        <w:pStyle w:val="ListParagraph"/>
        <w:numPr>
          <w:ilvl w:val="0"/>
          <w:numId w:val="1"/>
        </w:numPr>
      </w:pPr>
      <w:r w:rsidRPr="00EA3BC3">
        <w:t xml:space="preserve">Section 7 will memorialize the </w:t>
      </w:r>
      <w:r w:rsidR="00F52FFC">
        <w:t>P</w:t>
      </w:r>
      <w:r w:rsidRPr="00EA3BC3">
        <w:t>roject</w:t>
      </w:r>
      <w:r w:rsidR="00DC6F3E">
        <w:t xml:space="preserve">, </w:t>
      </w:r>
      <w:r w:rsidR="00F52FFC">
        <w:t>and will include, but n</w:t>
      </w:r>
      <w:r w:rsidR="00DC6F3E">
        <w:t xml:space="preserve">ot </w:t>
      </w:r>
      <w:r w:rsidR="00F52FFC">
        <w:t xml:space="preserve">be </w:t>
      </w:r>
      <w:r w:rsidR="00DC6F3E">
        <w:t>limited to</w:t>
      </w:r>
      <w:r w:rsidR="00F52FFC">
        <w:t xml:space="preserve"> the following</w:t>
      </w:r>
      <w:r w:rsidR="00DC6F3E">
        <w:t>:</w:t>
      </w:r>
    </w:p>
    <w:p w14:paraId="594080F3" w14:textId="4D94C912" w:rsidR="00DC6F3E" w:rsidRDefault="00DC6F3E" w:rsidP="00DC6F3E">
      <w:pPr>
        <w:pStyle w:val="ListParagraph"/>
      </w:pPr>
      <w:r>
        <w:t>a.</w:t>
      </w:r>
      <w:r>
        <w:tab/>
        <w:t xml:space="preserve">Legal description of the </w:t>
      </w:r>
      <w:r w:rsidR="00F52FFC">
        <w:t>Cline Dahle P</w:t>
      </w:r>
      <w:r>
        <w:t>roperty.</w:t>
      </w:r>
    </w:p>
    <w:p w14:paraId="7E95F2E0" w14:textId="771C2F47" w:rsidR="00DC6F3E" w:rsidRDefault="00DC6F3E" w:rsidP="00DC6F3E">
      <w:pPr>
        <w:pStyle w:val="ListParagraph"/>
      </w:pPr>
      <w:r>
        <w:t>b.</w:t>
      </w:r>
      <w:r>
        <w:tab/>
        <w:t xml:space="preserve">General description of the </w:t>
      </w:r>
      <w:r w:rsidR="00F52FFC">
        <w:t>P</w:t>
      </w:r>
      <w:r>
        <w:t>roject.</w:t>
      </w:r>
    </w:p>
    <w:p w14:paraId="1EC6DD05" w14:textId="77777777" w:rsidR="00DC6F3E" w:rsidRDefault="00DC6F3E" w:rsidP="00DC6F3E">
      <w:pPr>
        <w:pStyle w:val="ListParagraph"/>
      </w:pPr>
      <w:r>
        <w:t>c.</w:t>
      </w:r>
      <w:r>
        <w:tab/>
        <w:t>Project phasing.</w:t>
      </w:r>
    </w:p>
    <w:p w14:paraId="212D5C33" w14:textId="5A72FEF0" w:rsidR="00DC6F3E" w:rsidRDefault="00DC6F3E" w:rsidP="00DC6F3E">
      <w:pPr>
        <w:pStyle w:val="ListParagraph"/>
      </w:pPr>
      <w:r>
        <w:t>d.</w:t>
      </w:r>
      <w:r>
        <w:tab/>
        <w:t xml:space="preserve">Approved uses, densities and configuration of the </w:t>
      </w:r>
      <w:r w:rsidR="00F52FFC">
        <w:t>P</w:t>
      </w:r>
      <w:r>
        <w:t>roject.</w:t>
      </w:r>
    </w:p>
    <w:p w14:paraId="6B39B944" w14:textId="77777777" w:rsidR="00DC6F3E" w:rsidRDefault="00DC6F3E" w:rsidP="00DC6F3E">
      <w:pPr>
        <w:pStyle w:val="ListParagraph"/>
      </w:pPr>
      <w:r>
        <w:t>e.</w:t>
      </w:r>
      <w:r>
        <w:tab/>
        <w:t>Survival of developer obligations.</w:t>
      </w:r>
    </w:p>
    <w:p w14:paraId="5F3D5BE9" w14:textId="77777777" w:rsidR="00DC6F3E" w:rsidRDefault="00DC6F3E" w:rsidP="00DC6F3E">
      <w:pPr>
        <w:pStyle w:val="ListParagraph"/>
      </w:pPr>
      <w:r>
        <w:t>f.</w:t>
      </w:r>
      <w:r>
        <w:tab/>
        <w:t>Development improvements agreement.</w:t>
      </w:r>
    </w:p>
    <w:p w14:paraId="555ADC07" w14:textId="77777777" w:rsidR="00DC6F3E" w:rsidRDefault="00DC6F3E" w:rsidP="00DC6F3E">
      <w:pPr>
        <w:pStyle w:val="ListParagraph"/>
      </w:pPr>
      <w:r>
        <w:t>g.</w:t>
      </w:r>
      <w:r>
        <w:tab/>
        <w:t>Vested rights.</w:t>
      </w:r>
    </w:p>
    <w:p w14:paraId="2D53CBF8" w14:textId="7956C1A1" w:rsidR="00DC6F3E" w:rsidRDefault="00DC6F3E" w:rsidP="00D45325">
      <w:pPr>
        <w:pStyle w:val="ListParagraph"/>
        <w:ind w:left="1440" w:hanging="720"/>
      </w:pPr>
      <w:r>
        <w:lastRenderedPageBreak/>
        <w:t>h.</w:t>
      </w:r>
      <w:r>
        <w:tab/>
        <w:t xml:space="preserve">Further development processes </w:t>
      </w:r>
      <w:r w:rsidR="00F52FFC">
        <w:t xml:space="preserve">that will be </w:t>
      </w:r>
      <w:r>
        <w:t>required</w:t>
      </w:r>
      <w:r w:rsidR="009D050F">
        <w:t xml:space="preserve"> (i.e. building permits, subdivision plats,</w:t>
      </w:r>
      <w:r w:rsidR="00B811A5">
        <w:t xml:space="preserve"> low impact permits,</w:t>
      </w:r>
      <w:r w:rsidR="009D050F">
        <w:t xml:space="preserve"> etc.)</w:t>
      </w:r>
      <w:r>
        <w:t>.</w:t>
      </w:r>
    </w:p>
    <w:p w14:paraId="00C26B62" w14:textId="77777777" w:rsidR="00DC6F3E" w:rsidRDefault="00DC6F3E" w:rsidP="00DC6F3E">
      <w:pPr>
        <w:pStyle w:val="ListParagraph"/>
      </w:pPr>
      <w:proofErr w:type="spellStart"/>
      <w:r>
        <w:t>i</w:t>
      </w:r>
      <w:proofErr w:type="spellEnd"/>
      <w:r>
        <w:t>.</w:t>
      </w:r>
      <w:r>
        <w:tab/>
        <w:t>Impact fees.</w:t>
      </w:r>
    </w:p>
    <w:p w14:paraId="22BE5E47" w14:textId="77777777" w:rsidR="00F52FFC" w:rsidRDefault="00F52FFC" w:rsidP="00DC6F3E">
      <w:pPr>
        <w:pStyle w:val="ListParagraph"/>
      </w:pPr>
      <w:r>
        <w:t>j.</w:t>
      </w:r>
      <w:r>
        <w:tab/>
        <w:t>Project amenities, infrastructure, and concurrency management.</w:t>
      </w:r>
    </w:p>
    <w:p w14:paraId="75F52616" w14:textId="4914D0CB" w:rsidR="00F52FFC" w:rsidRDefault="00F52FFC" w:rsidP="00DC6F3E">
      <w:pPr>
        <w:pStyle w:val="ListParagraph"/>
      </w:pPr>
      <w:r>
        <w:t>k.</w:t>
      </w:r>
      <w:r>
        <w:tab/>
        <w:t>Housing agreement and deed restrictions</w:t>
      </w:r>
      <w:r w:rsidR="009D050F">
        <w:t xml:space="preserve"> for affordable housing</w:t>
      </w:r>
      <w:r>
        <w:t>.</w:t>
      </w:r>
    </w:p>
    <w:p w14:paraId="3E9AE7DE" w14:textId="5DA27ADA" w:rsidR="009D050F" w:rsidRDefault="009D050F" w:rsidP="00DC6F3E">
      <w:pPr>
        <w:pStyle w:val="ListParagraph"/>
      </w:pPr>
      <w:r>
        <w:t>l.</w:t>
      </w:r>
      <w:r>
        <w:tab/>
        <w:t>Exhibits, including but not limited to:</w:t>
      </w:r>
    </w:p>
    <w:p w14:paraId="0EF6F086" w14:textId="63E30911" w:rsidR="00B811A5" w:rsidRDefault="009D050F" w:rsidP="00DC6F3E">
      <w:pPr>
        <w:pStyle w:val="ListParagraph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B811A5">
        <w:t>Land use plan.</w:t>
      </w:r>
    </w:p>
    <w:p w14:paraId="3D4FEE0A" w14:textId="1042CE48" w:rsidR="009D050F" w:rsidRDefault="00B811A5" w:rsidP="00B811A5">
      <w:pPr>
        <w:pStyle w:val="ListParagraph"/>
        <w:ind w:firstLine="720"/>
      </w:pPr>
      <w:r>
        <w:t>(ii)</w:t>
      </w:r>
      <w:r>
        <w:tab/>
      </w:r>
      <w:r w:rsidR="009D050F">
        <w:t>Site plan(s) and/or subdivision plat(s).</w:t>
      </w:r>
    </w:p>
    <w:p w14:paraId="6DF062FD" w14:textId="0BD8E754" w:rsidR="00B811A5" w:rsidRDefault="00B811A5" w:rsidP="00D45325">
      <w:pPr>
        <w:pStyle w:val="ListParagraph"/>
        <w:ind w:firstLine="720"/>
      </w:pPr>
      <w:r>
        <w:t>(iii)</w:t>
      </w:r>
      <w:r>
        <w:tab/>
        <w:t>Trails and open space plan.</w:t>
      </w:r>
    </w:p>
    <w:p w14:paraId="359ED977" w14:textId="7D27C4E8" w:rsidR="009D050F" w:rsidRDefault="009D050F" w:rsidP="00DC6F3E">
      <w:pPr>
        <w:pStyle w:val="ListParagraph"/>
      </w:pPr>
      <w:r>
        <w:tab/>
        <w:t>(i</w:t>
      </w:r>
      <w:r w:rsidR="00B811A5">
        <w:t>v</w:t>
      </w:r>
      <w:r>
        <w:t>)</w:t>
      </w:r>
      <w:r>
        <w:tab/>
        <w:t>Lighting plan.</w:t>
      </w:r>
    </w:p>
    <w:p w14:paraId="669D0C48" w14:textId="6719ED3D" w:rsidR="009D050F" w:rsidRDefault="009D050F" w:rsidP="00DC6F3E">
      <w:pPr>
        <w:pStyle w:val="ListParagraph"/>
      </w:pPr>
      <w:r>
        <w:tab/>
        <w:t>(</w:t>
      </w:r>
      <w:r w:rsidR="00B811A5">
        <w:t>v</w:t>
      </w:r>
      <w:r>
        <w:t>)</w:t>
      </w:r>
      <w:r>
        <w:tab/>
        <w:t>Landscape plan.</w:t>
      </w:r>
    </w:p>
    <w:p w14:paraId="0DD3B7FA" w14:textId="23DDC0F6" w:rsidR="009D050F" w:rsidRDefault="009D050F" w:rsidP="00DC6F3E">
      <w:pPr>
        <w:pStyle w:val="ListParagraph"/>
      </w:pPr>
      <w:r>
        <w:tab/>
        <w:t>(v</w:t>
      </w:r>
      <w:r w:rsidR="00B811A5">
        <w:t>i</w:t>
      </w:r>
      <w:r>
        <w:t>)</w:t>
      </w:r>
      <w:r>
        <w:tab/>
        <w:t>Architectural design standards.</w:t>
      </w:r>
    </w:p>
    <w:p w14:paraId="76BA2626" w14:textId="66A97367" w:rsidR="00EA3BC3" w:rsidRDefault="00EA3BC3" w:rsidP="00EA3BC3">
      <w:pPr>
        <w:pStyle w:val="ListParagraph"/>
        <w:numPr>
          <w:ilvl w:val="0"/>
          <w:numId w:val="1"/>
        </w:numPr>
      </w:pPr>
      <w:r w:rsidRPr="00EA3BC3">
        <w:t>Section 8 provides requirements for insurance and</w:t>
      </w:r>
      <w:r w:rsidR="00ED21EA">
        <w:t xml:space="preserve"> </w:t>
      </w:r>
      <w:r w:rsidRPr="00EA3BC3">
        <w:t xml:space="preserve">indemnification of </w:t>
      </w:r>
      <w:r w:rsidR="00ED21EA">
        <w:t>Summit County</w:t>
      </w:r>
      <w:r w:rsidRPr="00EA3BC3">
        <w:t>.</w:t>
      </w:r>
    </w:p>
    <w:p w14:paraId="2E9BE375" w14:textId="11820503" w:rsidR="00EA3BC3" w:rsidRDefault="00EA3BC3" w:rsidP="00EA3BC3">
      <w:pPr>
        <w:pStyle w:val="ListParagraph"/>
        <w:numPr>
          <w:ilvl w:val="0"/>
          <w:numId w:val="1"/>
        </w:numPr>
      </w:pPr>
      <w:r w:rsidRPr="00D45325">
        <w:t xml:space="preserve">Section 9 sets forth the </w:t>
      </w:r>
      <w:r w:rsidR="009D050F">
        <w:t>P</w:t>
      </w:r>
      <w:r w:rsidRPr="00D45325">
        <w:t>roject completion</w:t>
      </w:r>
      <w:r w:rsidR="009D050F">
        <w:t xml:space="preserve"> date</w:t>
      </w:r>
      <w:r w:rsidRPr="00D45325">
        <w:t>, purchase price or lease rate adjustment and the mechanism</w:t>
      </w:r>
      <w:r w:rsidR="009D050F">
        <w:t>(s)</w:t>
      </w:r>
      <w:r w:rsidRPr="00D45325">
        <w:t xml:space="preserve"> </w:t>
      </w:r>
      <w:r w:rsidR="00ED21EA" w:rsidRPr="00D45325">
        <w:t>Summit County</w:t>
      </w:r>
      <w:r w:rsidRPr="00D45325">
        <w:t xml:space="preserve"> will use to determine the difference between the fair market value of the </w:t>
      </w:r>
      <w:r w:rsidR="00F52FFC" w:rsidRPr="00D45325">
        <w:t xml:space="preserve">Cline Dahle </w:t>
      </w:r>
      <w:r w:rsidRPr="00D45325">
        <w:t xml:space="preserve">Property and the fair reuse value of the </w:t>
      </w:r>
      <w:r w:rsidR="00F52FFC" w:rsidRPr="00D45325">
        <w:t>same</w:t>
      </w:r>
      <w:r w:rsidRPr="00D45325">
        <w:t xml:space="preserve">. By law, </w:t>
      </w:r>
      <w:r w:rsidR="00ED21EA" w:rsidRPr="00D45325">
        <w:t>Summit County</w:t>
      </w:r>
      <w:r w:rsidRPr="00D45325">
        <w:t xml:space="preserve"> cannot dispose of real property for an amount less than the fair reuse value of the property. The fair reuse value of the </w:t>
      </w:r>
      <w:r w:rsidR="00F52FFC" w:rsidRPr="00D45325">
        <w:t>p</w:t>
      </w:r>
      <w:r w:rsidRPr="00D45325">
        <w:t xml:space="preserve">roperty will be calculated by assessing the design and construction costs of the </w:t>
      </w:r>
      <w:r w:rsidR="009D050F">
        <w:t>P</w:t>
      </w:r>
      <w:r w:rsidRPr="00D45325">
        <w:t xml:space="preserve">roject to determine the minimum land acquisition cost that would enable the developer to construct the </w:t>
      </w:r>
      <w:r w:rsidR="009D050F">
        <w:t>P</w:t>
      </w:r>
      <w:r w:rsidRPr="00D45325">
        <w:t>roject and earn a profit from the endeavor, as</w:t>
      </w:r>
      <w:r w:rsidRPr="00B811A5">
        <w:t xml:space="preserve"> opposed</w:t>
      </w:r>
      <w:r w:rsidRPr="00EA3BC3">
        <w:t xml:space="preserve"> to suffering a financial loss.</w:t>
      </w:r>
      <w:r>
        <w:t xml:space="preserve"> </w:t>
      </w:r>
      <w:r w:rsidRPr="00EA3BC3">
        <w:t xml:space="preserve">The fair reuse value will be determined by an appraiser engaged by </w:t>
      </w:r>
      <w:r w:rsidR="00ED21EA">
        <w:t>Summit County</w:t>
      </w:r>
      <w:r w:rsidRPr="00EA3BC3">
        <w:t>, who will</w:t>
      </w:r>
      <w:r>
        <w:t xml:space="preserve"> </w:t>
      </w:r>
      <w:r w:rsidRPr="00EA3BC3">
        <w:t xml:space="preserve">consider the construction and design costs, financing costs, the marketability of the </w:t>
      </w:r>
      <w:r w:rsidR="009D050F">
        <w:t>P</w:t>
      </w:r>
      <w:r w:rsidRPr="00EA3BC3">
        <w:t>roject, and the developer's entrepreneurial incentive.</w:t>
      </w:r>
    </w:p>
    <w:p w14:paraId="2161C0CD" w14:textId="25C0868A" w:rsidR="00ED21EA" w:rsidRDefault="00EA3BC3" w:rsidP="00EA3BC3">
      <w:pPr>
        <w:pStyle w:val="ListParagraph"/>
        <w:numPr>
          <w:ilvl w:val="0"/>
          <w:numId w:val="1"/>
        </w:numPr>
      </w:pPr>
      <w:r w:rsidRPr="00EA3BC3">
        <w:t>Section 10</w:t>
      </w:r>
      <w:r>
        <w:t xml:space="preserve"> </w:t>
      </w:r>
      <w:r w:rsidRPr="00EA3BC3">
        <w:t>will contain post-development and construction obligations concerning the</w:t>
      </w:r>
      <w:r>
        <w:t xml:space="preserve"> </w:t>
      </w:r>
      <w:r w:rsidRPr="00EA3BC3">
        <w:t xml:space="preserve">continued use of the </w:t>
      </w:r>
      <w:r w:rsidR="00F52FFC">
        <w:t xml:space="preserve">Cline Dahle </w:t>
      </w:r>
      <w:r w:rsidRPr="00EA3BC3">
        <w:t xml:space="preserve">Property in compliance with the </w:t>
      </w:r>
      <w:r w:rsidR="009D050F">
        <w:t>Project</w:t>
      </w:r>
      <w:r w:rsidRPr="00EA3BC3">
        <w:t xml:space="preserve"> and the obligation of the </w:t>
      </w:r>
      <w:r w:rsidR="009D050F">
        <w:t>developer, as property owner,</w:t>
      </w:r>
      <w:r w:rsidRPr="00EA3BC3">
        <w:t xml:space="preserve"> to pay real property taxes.</w:t>
      </w:r>
    </w:p>
    <w:p w14:paraId="6143F004" w14:textId="2A4F0BAC" w:rsidR="00ED21EA" w:rsidRDefault="00EA3BC3" w:rsidP="00EA3BC3">
      <w:pPr>
        <w:pStyle w:val="ListParagraph"/>
        <w:numPr>
          <w:ilvl w:val="0"/>
          <w:numId w:val="1"/>
        </w:numPr>
      </w:pPr>
      <w:r w:rsidRPr="00EA3BC3">
        <w:t>Section 11</w:t>
      </w:r>
      <w:r w:rsidR="00ED21EA">
        <w:t xml:space="preserve"> </w:t>
      </w:r>
      <w:r w:rsidRPr="00EA3BC3">
        <w:t xml:space="preserve">will cover </w:t>
      </w:r>
      <w:r w:rsidR="009D050F">
        <w:t>non-performance, default, termination, and remedies</w:t>
      </w:r>
      <w:r w:rsidRPr="00EA3BC3">
        <w:t>.</w:t>
      </w:r>
    </w:p>
    <w:p w14:paraId="157A68E2" w14:textId="3FF412CC" w:rsidR="00EA3BC3" w:rsidRPr="00EA3BC3" w:rsidRDefault="00EA3BC3" w:rsidP="00EA3BC3">
      <w:pPr>
        <w:pStyle w:val="ListParagraph"/>
        <w:numPr>
          <w:ilvl w:val="0"/>
          <w:numId w:val="1"/>
        </w:numPr>
      </w:pPr>
      <w:r w:rsidRPr="00EA3BC3">
        <w:t xml:space="preserve">Sections 12 and 13 will contain </w:t>
      </w:r>
      <w:r w:rsidR="009D050F">
        <w:t xml:space="preserve">general contract terms and conditions under the DDA. </w:t>
      </w:r>
    </w:p>
    <w:p w14:paraId="29CCD95A" w14:textId="1E533E5A" w:rsidR="00EA3BC3" w:rsidRPr="00EA3BC3" w:rsidRDefault="00EA3BC3" w:rsidP="00EA3BC3">
      <w:r w:rsidRPr="00EA3BC3">
        <w:t>END OF SUMMARY</w:t>
      </w:r>
    </w:p>
    <w:sectPr w:rsidR="00EA3BC3" w:rsidRPr="00EA3BC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2B58F" w14:textId="77777777" w:rsidR="00083C3B" w:rsidRDefault="00083C3B" w:rsidP="0072070C">
      <w:pPr>
        <w:spacing w:after="0" w:line="240" w:lineRule="auto"/>
      </w:pPr>
      <w:r>
        <w:separator/>
      </w:r>
    </w:p>
  </w:endnote>
  <w:endnote w:type="continuationSeparator" w:id="0">
    <w:p w14:paraId="35D5A3E6" w14:textId="77777777" w:rsidR="00083C3B" w:rsidRDefault="00083C3B" w:rsidP="0072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95B3F" w14:textId="77777777" w:rsidR="00083C3B" w:rsidRDefault="00083C3B" w:rsidP="0072070C">
      <w:pPr>
        <w:spacing w:after="0" w:line="240" w:lineRule="auto"/>
      </w:pPr>
      <w:r>
        <w:separator/>
      </w:r>
    </w:p>
  </w:footnote>
  <w:footnote w:type="continuationSeparator" w:id="0">
    <w:p w14:paraId="6299404B" w14:textId="77777777" w:rsidR="00083C3B" w:rsidRDefault="00083C3B" w:rsidP="0072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3ACEC" w14:textId="58F0113C" w:rsidR="0072070C" w:rsidRDefault="0072070C" w:rsidP="0072070C">
    <w:pPr>
      <w:pStyle w:val="Header"/>
      <w:jc w:val="center"/>
    </w:pPr>
    <w:r>
      <w:t xml:space="preserve">APPENDIX </w:t>
    </w:r>
    <w:r w:rsidR="00B73F77">
      <w:t>7</w:t>
    </w:r>
  </w:p>
  <w:p w14:paraId="44C49F65" w14:textId="514DB106" w:rsidR="0072070C" w:rsidRDefault="0072070C" w:rsidP="0072070C">
    <w:pPr>
      <w:pStyle w:val="Header"/>
      <w:jc w:val="center"/>
    </w:pPr>
    <w:r>
      <w:t>CLINE DAHLE RFP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7F4BC6"/>
    <w:multiLevelType w:val="hybridMultilevel"/>
    <w:tmpl w:val="6638F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85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C3"/>
    <w:rsid w:val="00083C3B"/>
    <w:rsid w:val="001154F2"/>
    <w:rsid w:val="00162670"/>
    <w:rsid w:val="00323E0E"/>
    <w:rsid w:val="00500FFE"/>
    <w:rsid w:val="005A5CF4"/>
    <w:rsid w:val="00680926"/>
    <w:rsid w:val="0072070C"/>
    <w:rsid w:val="007232A8"/>
    <w:rsid w:val="007A3555"/>
    <w:rsid w:val="007D71D0"/>
    <w:rsid w:val="009D050F"/>
    <w:rsid w:val="00B73F77"/>
    <w:rsid w:val="00B811A5"/>
    <w:rsid w:val="00BC7E85"/>
    <w:rsid w:val="00CD6CCC"/>
    <w:rsid w:val="00D45325"/>
    <w:rsid w:val="00DC6F3E"/>
    <w:rsid w:val="00EA3BC3"/>
    <w:rsid w:val="00ED21EA"/>
    <w:rsid w:val="00ED36DC"/>
    <w:rsid w:val="00F52FFC"/>
    <w:rsid w:val="00F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B33D6"/>
  <w15:chartTrackingRefBased/>
  <w15:docId w15:val="{D890EAE8-6978-4521-B81E-49298E8C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B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70C"/>
  </w:style>
  <w:style w:type="paragraph" w:styleId="Footer">
    <w:name w:val="footer"/>
    <w:basedOn w:val="Normal"/>
    <w:link w:val="FooterChar"/>
    <w:uiPriority w:val="99"/>
    <w:unhideWhenUsed/>
    <w:rsid w:val="00720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70C"/>
  </w:style>
  <w:style w:type="paragraph" w:styleId="BalloonText">
    <w:name w:val="Balloon Text"/>
    <w:basedOn w:val="Normal"/>
    <w:link w:val="BalloonTextChar"/>
    <w:uiPriority w:val="99"/>
    <w:semiHidden/>
    <w:unhideWhenUsed/>
    <w:rsid w:val="00BC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B. Jones</dc:creator>
  <cp:keywords/>
  <dc:description/>
  <cp:lastModifiedBy>Jeffrey B. Jones</cp:lastModifiedBy>
  <cp:revision>3</cp:revision>
  <dcterms:created xsi:type="dcterms:W3CDTF">2024-09-16T01:10:00Z</dcterms:created>
  <dcterms:modified xsi:type="dcterms:W3CDTF">2024-09-16T03:40:00Z</dcterms:modified>
</cp:coreProperties>
</file>